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36410863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5AF1786E" w:rsidR="00AE00EF" w:rsidRPr="003D5382" w:rsidRDefault="00F118EB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F118EB">
              <w:rPr>
                <w:rFonts w:cstheme="minorHAnsi"/>
                <w:b/>
                <w:bCs/>
                <w:szCs w:val="20"/>
              </w:rPr>
              <w:t>Zakup sprzętu telefonicznego UNIFY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A2E037C" w14:textId="4D60691A" w:rsidR="00316883" w:rsidRDefault="00216D3C" w:rsidP="00F118EB">
      <w:pPr>
        <w:rPr>
          <w:rFonts w:cstheme="minorHAnsi"/>
          <w:b/>
          <w:iCs/>
          <w:szCs w:val="20"/>
        </w:rPr>
      </w:pPr>
      <w:r>
        <w:rPr>
          <w:rFonts w:cstheme="minorHAnsi"/>
          <w:b/>
          <w:iCs/>
          <w:szCs w:val="20"/>
        </w:rPr>
        <w:t>W tym:</w:t>
      </w:r>
    </w:p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3137"/>
        <w:gridCol w:w="568"/>
        <w:gridCol w:w="1843"/>
        <w:gridCol w:w="1832"/>
      </w:tblGrid>
      <w:tr w:rsidR="00216D3C" w:rsidRPr="00F118EB" w14:paraId="421F9610" w14:textId="61BDC989" w:rsidTr="00764FE7">
        <w:trPr>
          <w:trHeight w:val="33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34A4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Part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Number</w:t>
            </w:r>
            <w:proofErr w:type="spellEnd"/>
          </w:p>
          <w:p w14:paraId="0C608511" w14:textId="311C6227" w:rsidR="0060198E" w:rsidRPr="00F118EB" w:rsidRDefault="0060198E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(a)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76249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Opis</w:t>
            </w:r>
          </w:p>
          <w:p w14:paraId="6DDDA328" w14:textId="0861D8D3" w:rsidR="0060198E" w:rsidRPr="00F118EB" w:rsidRDefault="0060198E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(b)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4B06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Ilość</w:t>
            </w:r>
          </w:p>
          <w:p w14:paraId="6AC92865" w14:textId="6DC81428" w:rsidR="0060198E" w:rsidRPr="00F118EB" w:rsidRDefault="0060198E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(c)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3DC034C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Cena jednostkowa</w:t>
            </w:r>
          </w:p>
          <w:p w14:paraId="5E3DA266" w14:textId="36E97DC2" w:rsidR="0060198E" w:rsidRPr="00F118EB" w:rsidRDefault="00442FC6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(d)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FE47C0B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Wartość</w:t>
            </w:r>
          </w:p>
          <w:p w14:paraId="48E9646F" w14:textId="1BD4F108" w:rsidR="00442FC6" w:rsidRDefault="00442FC6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e=c x d</w:t>
            </w:r>
          </w:p>
        </w:tc>
      </w:tr>
      <w:tr w:rsidR="00C831FF" w:rsidRPr="00F118EB" w14:paraId="71B36646" w14:textId="3CBEE418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CC8E4" w14:textId="0D4B810E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 xml:space="preserve">Part </w:t>
            </w:r>
            <w:proofErr w:type="spellStart"/>
            <w:r w:rsidRPr="00BA254C">
              <w:t>Number</w:t>
            </w:r>
            <w:proofErr w:type="spellEnd"/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43ADF1" w14:textId="12C24349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Opis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E74CB98" w14:textId="180739AA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Ilość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21504F7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2414A8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25380177" w14:textId="1DD506C5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78664" w14:textId="5EFAEB98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L30220-Y600-A387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9B60A7" w14:textId="6967E59C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SLMAV (24 </w:t>
            </w:r>
            <w:proofErr w:type="spellStart"/>
            <w:r w:rsidRPr="00BA254C">
              <w:t>Ports</w:t>
            </w:r>
            <w:proofErr w:type="spellEnd"/>
            <w:r w:rsidRPr="00BA254C">
              <w:t>)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3D7B498" w14:textId="2BFED5F1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0D65584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071725D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053F71A" w14:textId="6B3D0624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CE853" w14:textId="56CF4990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L30220-Y600-A361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E89BDE6" w14:textId="3E98EDC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SLMU / SLMO24 - moduł do </w:t>
            </w:r>
            <w:proofErr w:type="spellStart"/>
            <w:r w:rsidRPr="00BA254C">
              <w:t>OpenScape</w:t>
            </w:r>
            <w:proofErr w:type="spellEnd"/>
            <w:r w:rsidRPr="00BA254C">
              <w:t xml:space="preserve"> 4000 V8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547033D" w14:textId="456F5A50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CDE746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21814D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4BCC777" w14:textId="636A21F0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B8647" w14:textId="017187C2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L30220-Y600-A450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9AFF80" w14:textId="5ACE36C4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STMD3 bez zasilania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348A3B3" w14:textId="13FD3783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2242C2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9A4F283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48D9D02A" w14:textId="47F8953C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D1E56" w14:textId="714FD165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L30220-Y600-A451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8C1979D" w14:textId="71BCC05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STMD3 z zasilaniem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5E26217" w14:textId="4B7C1A9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C2A5A95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681EC33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3860052F" w14:textId="614F2C5A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3C3DB" w14:textId="1C74A9B8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L30220-Y600-A245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4D9846" w14:textId="05A11641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TMANI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7D7AEF7" w14:textId="09315CF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577147E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565720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4142800C" w14:textId="0FD36D21" w:rsidTr="002362C4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3B28A" w14:textId="4092F5B9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L30220-Y600-A390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D54980" w14:textId="7B0CAB99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DIUT2 PRA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F718684" w14:textId="583B50E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BE97920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D0E3985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2C5C3A57" w14:textId="65C17570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71D35" w14:textId="4B31E6ED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L30220-Y600-T414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06853B7" w14:textId="27E4C152" w:rsidR="00C831FF" w:rsidRPr="002531EE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STMIX (120 kanałów) / HG 3500 V8 – moduł do </w:t>
            </w:r>
            <w:proofErr w:type="spellStart"/>
            <w:r w:rsidRPr="00BA254C">
              <w:t>OpenScape</w:t>
            </w:r>
            <w:proofErr w:type="spellEnd"/>
            <w:r w:rsidRPr="00BA254C">
              <w:t xml:space="preserve"> 4000 V10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D608F09" w14:textId="626EB3B6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FF25B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9C32686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5D542576" w14:textId="5EA9BE8A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6EF00" w14:textId="7F08844F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L30220-Y600-T417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B7BB334" w14:textId="2495E341" w:rsidR="00C831FF" w:rsidRPr="002531EE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2531EE">
              <w:rPr>
                <w:lang w:val="en-US"/>
              </w:rPr>
              <w:t>MDF Cable 25m, Open-Ended (24-Pair)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396DAC9" w14:textId="0ABE786E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E181F7B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FFA87F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3B8D4C1D" w14:textId="5AEFED59" w:rsidTr="002362C4">
        <w:trPr>
          <w:trHeight w:val="12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E14E9" w14:textId="6090BCF4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L30220-Y600-T421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E4D77C" w14:textId="4246FDF8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BA254C">
              <w:t xml:space="preserve">DIU Cable, 120 </w:t>
            </w:r>
            <w:proofErr w:type="spellStart"/>
            <w:r w:rsidRPr="00BA254C">
              <w:t>Ohms</w:t>
            </w:r>
            <w:proofErr w:type="spellEnd"/>
            <w:r w:rsidRPr="00BA254C">
              <w:t>, 10m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2B634D" w14:textId="1C67D49D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BED1ABF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17147A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110E4A1A" w14:textId="31D7713E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DD59B" w14:textId="7AFD0197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L30220-Y600-T436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E86E08" w14:textId="5C2F2143" w:rsidR="00C831FF" w:rsidRPr="002531EE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2531EE">
              <w:rPr>
                <w:lang w:val="en-US"/>
              </w:rPr>
              <w:t xml:space="preserve">Subscriber Line Module Cordless for </w:t>
            </w: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Cordless E (SLMC) - </w:t>
            </w:r>
            <w:proofErr w:type="spellStart"/>
            <w:r w:rsidRPr="002531EE">
              <w:rPr>
                <w:lang w:val="en-US"/>
              </w:rPr>
              <w:t>nastepca</w:t>
            </w:r>
            <w:proofErr w:type="spellEnd"/>
            <w:r w:rsidRPr="002531EE">
              <w:rPr>
                <w:lang w:val="en-US"/>
              </w:rPr>
              <w:t xml:space="preserve"> </w:t>
            </w:r>
            <w:proofErr w:type="spellStart"/>
            <w:r w:rsidRPr="002531EE">
              <w:rPr>
                <w:lang w:val="en-US"/>
              </w:rPr>
              <w:t>modułu</w:t>
            </w:r>
            <w:proofErr w:type="spellEnd"/>
            <w:r w:rsidRPr="002531EE">
              <w:rPr>
                <w:lang w:val="en-US"/>
              </w:rPr>
              <w:t xml:space="preserve"> </w:t>
            </w:r>
            <w:proofErr w:type="spellStart"/>
            <w:r w:rsidRPr="002531EE">
              <w:rPr>
                <w:lang w:val="en-US"/>
              </w:rPr>
              <w:t>wycofanego</w:t>
            </w:r>
            <w:proofErr w:type="spellEnd"/>
            <w:r w:rsidRPr="002531EE">
              <w:rPr>
                <w:lang w:val="en-US"/>
              </w:rPr>
              <w:t xml:space="preserve"> SLMC24 / SLC24 - </w:t>
            </w:r>
            <w:proofErr w:type="spellStart"/>
            <w:r w:rsidRPr="002531EE">
              <w:rPr>
                <w:lang w:val="en-US"/>
              </w:rPr>
              <w:t>moduł</w:t>
            </w:r>
            <w:proofErr w:type="spellEnd"/>
            <w:r w:rsidRPr="002531EE">
              <w:rPr>
                <w:lang w:val="en-US"/>
              </w:rPr>
              <w:t xml:space="preserve"> (4 </w:t>
            </w:r>
            <w:proofErr w:type="spellStart"/>
            <w:r w:rsidRPr="002531EE">
              <w:rPr>
                <w:lang w:val="en-US"/>
              </w:rPr>
              <w:t>sloty</w:t>
            </w:r>
            <w:proofErr w:type="spellEnd"/>
            <w:r w:rsidRPr="002531EE">
              <w:rPr>
                <w:lang w:val="en-US"/>
              </w:rPr>
              <w:t xml:space="preserve">, BS </w:t>
            </w:r>
            <w:r w:rsidRPr="002531EE">
              <w:rPr>
                <w:lang w:val="en-US"/>
              </w:rPr>
              <w:lastRenderedPageBreak/>
              <w:t xml:space="preserve">i </w:t>
            </w:r>
            <w:proofErr w:type="spellStart"/>
            <w:r w:rsidRPr="002531EE">
              <w:rPr>
                <w:lang w:val="en-US"/>
              </w:rPr>
              <w:t>abonenci</w:t>
            </w:r>
            <w:proofErr w:type="spellEnd"/>
            <w:r w:rsidRPr="002531EE">
              <w:rPr>
                <w:lang w:val="en-US"/>
              </w:rPr>
              <w:t>: 80/</w:t>
            </w:r>
            <w:proofErr w:type="spellStart"/>
            <w:r w:rsidRPr="002531EE">
              <w:rPr>
                <w:lang w:val="en-US"/>
              </w:rPr>
              <w:t>moduł</w:t>
            </w:r>
            <w:proofErr w:type="spellEnd"/>
            <w:r w:rsidRPr="002531EE">
              <w:rPr>
                <w:lang w:val="en-US"/>
              </w:rPr>
              <w:t xml:space="preserve">) do </w:t>
            </w: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4000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0D1F0C4" w14:textId="2865DC2A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8055D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20369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75F9F86F" w14:textId="3BDBC568" w:rsidTr="002362C4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D7214" w14:textId="52D85814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L30280-F600-A141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4E5C2C" w14:textId="395ECDA4" w:rsidR="00C831FF" w:rsidRPr="002531EE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Stacja bazowa DECT BS5 do Cordless E V7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532B942" w14:textId="01DC4659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8F4F663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930EC3D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3C1B24E5" w14:textId="64E3C89C" w:rsidTr="002362C4">
        <w:trPr>
          <w:trHeight w:val="9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CA3E7" w14:textId="2186A724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L30258-W600-D277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E885D9" w14:textId="7925C3C4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2531EE">
              <w:rPr>
                <w:lang w:val="en-US"/>
              </w:rPr>
              <w:t>OpenStage</w:t>
            </w:r>
            <w:proofErr w:type="spellEnd"/>
            <w:r w:rsidRPr="002531EE">
              <w:rPr>
                <w:lang w:val="en-US"/>
              </w:rPr>
              <w:t xml:space="preserve"> </w:t>
            </w:r>
            <w:proofErr w:type="spellStart"/>
            <w:r w:rsidRPr="002531EE">
              <w:rPr>
                <w:lang w:val="en-US"/>
              </w:rPr>
              <w:t>Xpert</w:t>
            </w:r>
            <w:proofErr w:type="spellEnd"/>
            <w:r w:rsidRPr="002531EE">
              <w:rPr>
                <w:lang w:val="en-US"/>
              </w:rPr>
              <w:t xml:space="preserve"> 6010p Base-Module for </w:t>
            </w: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</w:t>
            </w:r>
            <w:proofErr w:type="spellStart"/>
            <w:r w:rsidRPr="002531EE">
              <w:rPr>
                <w:lang w:val="en-US"/>
              </w:rPr>
              <w:t>Xpert</w:t>
            </w:r>
            <w:proofErr w:type="spellEnd"/>
            <w:r w:rsidRPr="002531EE">
              <w:rPr>
                <w:lang w:val="en-US"/>
              </w:rPr>
              <w:t xml:space="preserve"> and </w:t>
            </w:r>
            <w:proofErr w:type="spellStart"/>
            <w:r w:rsidRPr="002531EE">
              <w:rPr>
                <w:lang w:val="en-US"/>
              </w:rPr>
              <w:t>HiPath</w:t>
            </w:r>
            <w:proofErr w:type="spellEnd"/>
            <w:r w:rsidRPr="002531EE">
              <w:rPr>
                <w:lang w:val="en-US"/>
              </w:rPr>
              <w:t xml:space="preserve"> Trading solutions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F63A0C2" w14:textId="406BC333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D3B5D1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93EA9B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5D14C4BA" w14:textId="729BFF4B" w:rsidTr="002362C4">
        <w:trPr>
          <w:trHeight w:val="9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326AD" w14:textId="1E2F992D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L30258-W600-D236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CFB19D" w14:textId="52484A79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2531EE">
              <w:rPr>
                <w:lang w:val="en-US"/>
              </w:rPr>
              <w:t xml:space="preserve">Handset with push-to-talk or push-to-mute function and adjustable cradle module, </w:t>
            </w:r>
            <w:proofErr w:type="spellStart"/>
            <w:r w:rsidRPr="002531EE">
              <w:rPr>
                <w:lang w:val="en-US"/>
              </w:rPr>
              <w:t>OpenStage</w:t>
            </w:r>
            <w:proofErr w:type="spellEnd"/>
            <w:r w:rsidRPr="002531EE">
              <w:rPr>
                <w:lang w:val="en-US"/>
              </w:rPr>
              <w:t xml:space="preserve"> </w:t>
            </w:r>
            <w:proofErr w:type="spellStart"/>
            <w:r w:rsidRPr="002531EE">
              <w:rPr>
                <w:lang w:val="en-US"/>
              </w:rPr>
              <w:t>Xpert</w:t>
            </w:r>
            <w:proofErr w:type="spellEnd"/>
            <w:r w:rsidRPr="002531EE">
              <w:rPr>
                <w:lang w:val="en-US"/>
              </w:rPr>
              <w:t xml:space="preserve"> 6010p design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0DD83C4" w14:textId="3D8A22E3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6F841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59DC8EB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24079777" w14:textId="7131D621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BFB33" w14:textId="1AA1DA03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L30258-W600-D245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708F06" w14:textId="6F8804DD" w:rsidR="00C831FF" w:rsidRPr="002531EE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2531EE">
              <w:rPr>
                <w:lang w:val="en-US"/>
              </w:rPr>
              <w:t>OpenStage</w:t>
            </w:r>
            <w:proofErr w:type="spellEnd"/>
            <w:r w:rsidRPr="002531EE">
              <w:rPr>
                <w:lang w:val="en-US"/>
              </w:rPr>
              <w:t xml:space="preserve"> </w:t>
            </w:r>
            <w:proofErr w:type="spellStart"/>
            <w:r w:rsidRPr="002531EE">
              <w:rPr>
                <w:lang w:val="en-US"/>
              </w:rPr>
              <w:t>Xpert</w:t>
            </w:r>
            <w:proofErr w:type="spellEnd"/>
            <w:r w:rsidRPr="002531EE">
              <w:rPr>
                <w:lang w:val="en-US"/>
              </w:rPr>
              <w:t xml:space="preserve">  gooseneck microphone GOSSIE09 with LED head.  Only released for </w:t>
            </w: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</w:t>
            </w:r>
            <w:proofErr w:type="spellStart"/>
            <w:r w:rsidRPr="002531EE">
              <w:rPr>
                <w:lang w:val="en-US"/>
              </w:rPr>
              <w:t>Xpert</w:t>
            </w:r>
            <w:proofErr w:type="spellEnd"/>
            <w:r w:rsidRPr="002531EE">
              <w:rPr>
                <w:lang w:val="en-US"/>
              </w:rPr>
              <w:t xml:space="preserve"> V4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52B9532" w14:textId="48BAFDB2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3421BB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F0AC5F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0CC9A31E" w14:textId="6F118011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A6880" w14:textId="4204CD82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L30220-Y600-G306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97E027" w14:textId="168753F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LTUCR / LTUCA do </w:t>
            </w:r>
            <w:proofErr w:type="spellStart"/>
            <w:r w:rsidRPr="00BA254C">
              <w:t>OpenScape</w:t>
            </w:r>
            <w:proofErr w:type="spellEnd"/>
            <w:r w:rsidRPr="00BA254C">
              <w:t xml:space="preserve"> 4000 V8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C7EEFFD" w14:textId="7A6139BA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F5B9E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D6AF7ED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2A3A7156" w14:textId="5BB5FA5D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36016" w14:textId="6CF2F3FC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L30251-U600-A85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09E996" w14:textId="37D45A9B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BA254C">
              <w:t>LUNA2 / S30122-H7686-X1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452DECE" w14:textId="126CA756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C70FE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F52B59F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88CEF0A" w14:textId="530E8DEC" w:rsidTr="002362C4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AAFDC" w14:textId="0823D814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L30220-Y600-G337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D94690" w14:textId="47C002DE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2531EE">
              <w:rPr>
                <w:lang w:val="en-US"/>
              </w:rPr>
              <w:t>EcoServer</w:t>
            </w:r>
            <w:proofErr w:type="spellEnd"/>
            <w:r w:rsidRPr="002531EE">
              <w:rPr>
                <w:lang w:val="en-US"/>
              </w:rPr>
              <w:t xml:space="preserve"> (2x PSU, 2x SSD)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374F2A1" w14:textId="678D50B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5A9BA95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6765A2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7A298870" w14:textId="49B2DBF5" w:rsidTr="002362C4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B49D9" w14:textId="4EA7EBCB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L30220-Y600-T251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90CBCF0" w14:textId="74D4A725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4000 AC Power Supply for </w:t>
            </w:r>
            <w:proofErr w:type="spellStart"/>
            <w:r w:rsidRPr="002531EE">
              <w:rPr>
                <w:lang w:val="en-US"/>
              </w:rPr>
              <w:t>EcoServer</w:t>
            </w:r>
            <w:proofErr w:type="spellEnd"/>
            <w:r w:rsidRPr="002531EE">
              <w:rPr>
                <w:lang w:val="en-US"/>
              </w:rPr>
              <w:t xml:space="preserve"> or OS4k Branch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8B8F205" w14:textId="038FB7A9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602E15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DAD134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4BE35567" w14:textId="23C888DF" w:rsidTr="002362C4">
        <w:trPr>
          <w:trHeight w:val="66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4316B" w14:textId="0A83C8D1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L30220-Y600-T252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CC88BBE" w14:textId="4A2B553B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4000 DC Power Supply  for </w:t>
            </w:r>
            <w:proofErr w:type="spellStart"/>
            <w:r w:rsidRPr="002531EE">
              <w:rPr>
                <w:lang w:val="en-US"/>
              </w:rPr>
              <w:t>EcoServer</w:t>
            </w:r>
            <w:proofErr w:type="spellEnd"/>
            <w:r w:rsidRPr="002531EE">
              <w:rPr>
                <w:lang w:val="en-US"/>
              </w:rPr>
              <w:t xml:space="preserve"> or OS4k Branch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4A5E8DD" w14:textId="512D4045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49F7763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3787F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721A558F" w14:textId="7068B87E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03891" w14:textId="4A9FADA4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L30220-Y600-T253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F96FEF2" w14:textId="11CA9641" w:rsidR="00C831FF" w:rsidRPr="002531EE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4000 SSD empty for </w:t>
            </w:r>
            <w:proofErr w:type="spellStart"/>
            <w:r w:rsidRPr="002531EE">
              <w:rPr>
                <w:lang w:val="en-US"/>
              </w:rPr>
              <w:t>EcoServer</w:t>
            </w:r>
            <w:proofErr w:type="spellEnd"/>
            <w:r w:rsidRPr="002531EE">
              <w:rPr>
                <w:lang w:val="en-US"/>
              </w:rPr>
              <w:t xml:space="preserve"> or OS4k Branch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EBF75E2" w14:textId="3BF2FE33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F5938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C7AB3D4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74A0147" w14:textId="0A51C82D" w:rsidTr="002362C4">
        <w:trPr>
          <w:trHeight w:val="4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155D1" w14:textId="71E705FA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L30250-F600-C402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6563155" w14:textId="322C5F69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OpenStage</w:t>
            </w:r>
            <w:proofErr w:type="spellEnd"/>
            <w:r w:rsidRPr="00BA254C">
              <w:t xml:space="preserve"> M3 Ex </w:t>
            </w:r>
            <w:proofErr w:type="spellStart"/>
            <w:r w:rsidRPr="00BA254C">
              <w:t>Handset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3AF4DD7" w14:textId="392DFE6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2BD5C2D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E791912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E6215BD" w14:textId="06C3C69F" w:rsidTr="002362C4">
        <w:trPr>
          <w:trHeight w:val="7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FE845" w14:textId="1B6CCD6D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L30250-F600-C404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C1E72FC" w14:textId="16F0B3F3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OpenStage</w:t>
            </w:r>
            <w:proofErr w:type="spellEnd"/>
            <w:r w:rsidRPr="00BA254C">
              <w:t xml:space="preserve"> M3 </w:t>
            </w:r>
            <w:proofErr w:type="spellStart"/>
            <w:r w:rsidRPr="00BA254C">
              <w:t>Charger</w:t>
            </w:r>
            <w:proofErr w:type="spellEnd"/>
            <w:r w:rsidRPr="00BA254C">
              <w:t xml:space="preserve"> EU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72E182B" w14:textId="0DE26A3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DF2EA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A777A3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1557B5DA" w14:textId="76A572B1" w:rsidTr="002362C4">
        <w:trPr>
          <w:trHeight w:val="39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8F7FC" w14:textId="3333996B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L30250-F600-C435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7E4FFE" w14:textId="2E09B10D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</w:t>
            </w:r>
            <w:proofErr w:type="spellStart"/>
            <w:r w:rsidRPr="00BA254C">
              <w:t>Desk</w:t>
            </w:r>
            <w:proofErr w:type="spellEnd"/>
            <w:r w:rsidRPr="00BA254C">
              <w:t xml:space="preserve"> Phone CP200T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7CFAE20" w14:textId="7ECB72B4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0EEE00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2DDF45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3955089D" w14:textId="2EDB345B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836D2" w14:textId="372C4877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L30250-F600-C436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78C1332" w14:textId="3DC2833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</w:t>
            </w:r>
            <w:proofErr w:type="spellStart"/>
            <w:r w:rsidRPr="00BA254C">
              <w:t>Desk</w:t>
            </w:r>
            <w:proofErr w:type="spellEnd"/>
            <w:r w:rsidRPr="00BA254C">
              <w:t xml:space="preserve"> Phone CP400T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3C93722" w14:textId="7043C8AA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328E329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745C2E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AAC93C0" w14:textId="4D011160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85325" w14:textId="13022E92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L30250-F600-C432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1DA5955" w14:textId="77314F22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</w:t>
            </w:r>
            <w:proofErr w:type="spellStart"/>
            <w:r w:rsidRPr="00BA254C">
              <w:t>Desk</w:t>
            </w:r>
            <w:proofErr w:type="spellEnd"/>
            <w:r w:rsidRPr="00BA254C">
              <w:t xml:space="preserve"> Phone CP205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0A1CFC5" w14:textId="0E829602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763C246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D046059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5E71B21D" w14:textId="6BF11351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D2F1F" w14:textId="156F32EB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L30250-F600-C427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F5BA91" w14:textId="527B3B26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</w:t>
            </w:r>
            <w:proofErr w:type="spellStart"/>
            <w:r w:rsidRPr="00BA254C">
              <w:t>Desk</w:t>
            </w:r>
            <w:proofErr w:type="spellEnd"/>
            <w:r w:rsidRPr="00BA254C">
              <w:t xml:space="preserve"> Phone CP400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502FB5C" w14:textId="76D99AD2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CD7E0E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A7EF43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1D31031A" w14:textId="136C1AD5" w:rsidTr="002362C4">
        <w:trPr>
          <w:trHeight w:val="375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AFD7E" w14:textId="722A4F84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L30250-F600-C428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86BA762" w14:textId="20344D86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</w:t>
            </w:r>
            <w:proofErr w:type="spellStart"/>
            <w:r w:rsidRPr="00BA254C">
              <w:t>Desk</w:t>
            </w:r>
            <w:proofErr w:type="spellEnd"/>
            <w:r w:rsidRPr="00BA254C">
              <w:t xml:space="preserve"> Phone CP600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50147ED" w14:textId="309CDEC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22CAA9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54E14F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3FA6714B" w14:textId="0F878C1F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0B22A" w14:textId="68DABA2C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L30250-F600-C429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ECFFE87" w14:textId="6CF5FA72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</w:t>
            </w:r>
            <w:proofErr w:type="spellStart"/>
            <w:r w:rsidRPr="00BA254C">
              <w:t>Key</w:t>
            </w:r>
            <w:proofErr w:type="spellEnd"/>
            <w:r w:rsidRPr="00BA254C">
              <w:t xml:space="preserve"> Module 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C6451E4" w14:textId="173CDD16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4A271D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E1737CF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00AEB376" w14:textId="3BC4E308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51F70" w14:textId="5F7623E1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L30250-F600-C430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FA3F9AF" w14:textId="2DE6FF0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</w:t>
            </w:r>
            <w:proofErr w:type="spellStart"/>
            <w:r w:rsidRPr="00BA254C">
              <w:t>Key</w:t>
            </w:r>
            <w:proofErr w:type="spellEnd"/>
            <w:r w:rsidRPr="00BA254C">
              <w:t xml:space="preserve"> Module 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0AE7AED" w14:textId="5AB5A3A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E9443A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B4673C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26FAD831" w14:textId="28D4C39B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775C8" w14:textId="20E9D2F1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L30250-F600-C510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9DE512D" w14:textId="627DB58C" w:rsidR="00C831FF" w:rsidRPr="00EF0486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BA254C">
              <w:t>OpenScape</w:t>
            </w:r>
            <w:proofErr w:type="spellEnd"/>
            <w:r w:rsidRPr="00BA254C">
              <w:t xml:space="preserve"> DECT Phone S6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0DCF048" w14:textId="2C238FD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CEACE0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60E622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38F625EF" w14:textId="71694B23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4A812" w14:textId="495FF25D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L30250-F600-C512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4F06CF7" w14:textId="6E670AC7" w:rsidR="00C831FF" w:rsidRPr="002531EE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2531EE">
              <w:rPr>
                <w:lang w:val="en-US"/>
              </w:rPr>
              <w:t>OpenScape</w:t>
            </w:r>
            <w:proofErr w:type="spellEnd"/>
            <w:r w:rsidRPr="002531EE">
              <w:rPr>
                <w:lang w:val="en-US"/>
              </w:rPr>
              <w:t xml:space="preserve"> DECT Phone S6 Charger EU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69122EF" w14:textId="084635EA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093F8D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F74850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79905B85" w14:textId="642085E8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A0615" w14:textId="725F285F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L30250-F600-C141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683FAD" w14:textId="64B8C02A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Zasilacz POE z kablem do telefonów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D5FA6D8" w14:textId="037CDFD1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5C570A0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EBDF4D0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0441C864" w14:textId="6865C01A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40038" w14:textId="53B0F021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Alcatel T78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592468" w14:textId="7D5A54BE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Alcatel T78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AD68F3C" w14:textId="6890D14D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F2B3E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2879EE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399915B4" w14:textId="47E7EE9E" w:rsidTr="002362C4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B164C4" w14:textId="08390505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Gigaset</w:t>
            </w:r>
            <w:proofErr w:type="spellEnd"/>
            <w:r w:rsidRPr="00BA254C">
              <w:t xml:space="preserve"> C550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2739523" w14:textId="3418BEB9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BA254C">
              <w:t>Gigaset</w:t>
            </w:r>
            <w:proofErr w:type="spellEnd"/>
            <w:r w:rsidRPr="00BA254C">
              <w:t xml:space="preserve"> Comfort 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72D22B4" w14:textId="6CCCCD7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3099BA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B9F00D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732CCF00" w14:textId="233AF598" w:rsidTr="002362C4">
        <w:trPr>
          <w:trHeight w:val="9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26AB7" w14:textId="1E34118E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lastRenderedPageBreak/>
              <w:t>PS-5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924BD88" w14:textId="5C08B21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Detektor dzwonienia w linii analogowej – przystawka sygnalizacyjna PS-5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187D616" w14:textId="59267B15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71C5C19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EC9E03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21B2203" w14:textId="3B76B21B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0E1802" w14:textId="7F2C87F9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LR LR6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BBB282" w14:textId="68C87EBA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Sygnalizator akustyczno – optyczny Wieża sygnalizacyjna LR LR6 (60mm) </w:t>
            </w:r>
            <w:proofErr w:type="spellStart"/>
            <w:r w:rsidRPr="00BA254C">
              <w:t>Patlite</w:t>
            </w:r>
            <w:proofErr w:type="spellEnd"/>
            <w:r w:rsidRPr="00BA254C">
              <w:t xml:space="preserve"> - Wymaga doprowadzenia zasilania 230VAC.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7BBFE64" w14:textId="5252BF5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FD0C20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39B878E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48AD3996" w14:textId="10AC32F2" w:rsidTr="002362C4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4A535" w14:textId="1FFFEBE6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 xml:space="preserve"> 9152101W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72AD1B" w14:textId="61C49DC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2N Helios </w:t>
            </w:r>
            <w:proofErr w:type="spellStart"/>
            <w:r w:rsidRPr="00BA254C">
              <w:t>Safety</w:t>
            </w:r>
            <w:proofErr w:type="spellEnd"/>
            <w:r w:rsidRPr="00BA254C">
              <w:t xml:space="preserve"> Domofon jednoprzyciskowy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B67D042" w14:textId="67107B8B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85018C8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92B3805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6D1CC7B2" w14:textId="4A10E3F1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6FF84" w14:textId="5428640C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 xml:space="preserve"> 9151001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05447E" w14:textId="2080A694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2N Helios Adapter do montażu podtynkowego Force / </w:t>
            </w:r>
            <w:proofErr w:type="spellStart"/>
            <w:r w:rsidRPr="00BA254C">
              <w:t>Safety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B2171F0" w14:textId="7E0E6B50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21488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058360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075FAF75" w14:textId="3F8D9FCA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5EAC2" w14:textId="1AB114E6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 xml:space="preserve"> 9152000E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ABC7F4" w14:textId="1C110D0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2N Helios ramka ochronna </w:t>
            </w:r>
            <w:proofErr w:type="spellStart"/>
            <w:r w:rsidRPr="00BA254C">
              <w:t>Safety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222AD51" w14:textId="55FFB9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99D64C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37DEC7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4680AA23" w14:textId="756A3C53" w:rsidTr="002362C4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AC35D" w14:textId="5E079BA1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 xml:space="preserve"> 9135110KE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85CFE4" w14:textId="0C78FCC4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 xml:space="preserve">2N Helios </w:t>
            </w:r>
            <w:proofErr w:type="spellStart"/>
            <w:r w:rsidRPr="00BA254C">
              <w:t>Vario</w:t>
            </w:r>
            <w:proofErr w:type="spellEnd"/>
            <w:r w:rsidRPr="00BA254C">
              <w:t xml:space="preserve"> Domofon jednoprzyciskowy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B855E54" w14:textId="5B2213FE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6BF61A4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9939A9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45D8159C" w14:textId="1C45C577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BD0AA" w14:textId="6DEEB8E3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 xml:space="preserve"> 9135351E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50DC54" w14:textId="488FE688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2N Helios Adapter do montażu podtynkowego dla jednego modułu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22162CD" w14:textId="33B752F1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8A7605F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BB51B2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7945C334" w14:textId="2DDEA3F8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1D1EC" w14:textId="5DD2CFFC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ATP-1.3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F9F12D0" w14:textId="423A8890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Przemysłowy aparat telefoniczny ATP-1.3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4A1ABB9" w14:textId="40A46F15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F475F85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14538E9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70848FE2" w14:textId="67A517FC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E8A6B" w14:textId="47DC5702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TELOS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9F0ED55" w14:textId="627B3859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ATP-2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ACDB423" w14:textId="6C68B3A6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AF0E921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3961A7A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C831FF" w:rsidRPr="00F118EB" w14:paraId="1306E7ED" w14:textId="7082A4CA" w:rsidTr="002362C4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0C3F8" w14:textId="0EDFF394" w:rsidR="00C831FF" w:rsidRPr="00F118EB" w:rsidRDefault="00C831FF" w:rsidP="00C831FF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BA254C">
              <w:t>Alcatel T06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4BAC61A" w14:textId="785E61EC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Alcatel Temporis 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C4EB873" w14:textId="35877AB2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BA254C"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10E544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EF8DDDB" w14:textId="77777777" w:rsidR="00C831FF" w:rsidRPr="00F118EB" w:rsidRDefault="00C831FF" w:rsidP="00C831FF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A9EF679" w14:textId="77777777" w:rsidTr="00AB56B2">
        <w:trPr>
          <w:trHeight w:val="330"/>
        </w:trPr>
        <w:tc>
          <w:tcPr>
            <w:tcW w:w="7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2537" w14:textId="4589357D" w:rsidR="00216D3C" w:rsidRPr="00F118EB" w:rsidRDefault="00216D3C" w:rsidP="00764FE7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Razem: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13AB4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7AD08BB1" w14:textId="11F4903C" w:rsidR="00216D3C" w:rsidRDefault="00216D3C" w:rsidP="00F118EB">
      <w:pPr>
        <w:rPr>
          <w:rFonts w:cstheme="minorHAnsi"/>
          <w:b/>
          <w:iCs/>
          <w:szCs w:val="20"/>
        </w:rPr>
      </w:pPr>
    </w:p>
    <w:p w14:paraId="187E4049" w14:textId="0FDA1DD8" w:rsidR="00E57EAF" w:rsidRPr="00A54A27" w:rsidRDefault="00E57EAF" w:rsidP="00E57EAF">
      <w:pPr>
        <w:ind w:left="426"/>
        <w:rPr>
          <w:rFonts w:cstheme="minorHAnsi"/>
          <w:b/>
          <w:bCs/>
          <w:color w:val="FF0000"/>
          <w:szCs w:val="20"/>
        </w:rPr>
      </w:pPr>
      <w:r w:rsidRPr="00AB57EF">
        <w:rPr>
          <w:rFonts w:cstheme="minorHAnsi"/>
          <w:b/>
          <w:bCs/>
          <w:color w:val="FF0000"/>
          <w:szCs w:val="20"/>
        </w:rPr>
        <w:t xml:space="preserve">UWAGA! Ilości, które zostały wskazane </w:t>
      </w:r>
      <w:r>
        <w:rPr>
          <w:rFonts w:cstheme="minorHAnsi"/>
          <w:b/>
          <w:bCs/>
          <w:color w:val="FF0000"/>
          <w:szCs w:val="20"/>
        </w:rPr>
        <w:t>w powyższej tabeli</w:t>
      </w:r>
      <w:r w:rsidRPr="00AB57EF">
        <w:rPr>
          <w:rFonts w:cstheme="minorHAnsi"/>
          <w:b/>
          <w:bCs/>
          <w:color w:val="FF0000"/>
          <w:szCs w:val="20"/>
        </w:rPr>
        <w:t xml:space="preserve"> są ilościami poglądowymi, niezbędnymi Zamawiającemu do porównania ofert Wykonawców i wyboru ofert</w:t>
      </w:r>
      <w:r w:rsidR="00C54FE7">
        <w:rPr>
          <w:rFonts w:cstheme="minorHAnsi"/>
          <w:b/>
          <w:bCs/>
          <w:color w:val="FF0000"/>
          <w:szCs w:val="20"/>
        </w:rPr>
        <w:t>y</w:t>
      </w:r>
      <w:r w:rsidRPr="00AB57EF">
        <w:rPr>
          <w:rFonts w:cstheme="minorHAnsi"/>
          <w:b/>
          <w:bCs/>
          <w:color w:val="FF0000"/>
          <w:szCs w:val="20"/>
        </w:rPr>
        <w:t xml:space="preserve"> najkorzystniejsz</w:t>
      </w:r>
      <w:r w:rsidR="00C54FE7">
        <w:rPr>
          <w:rFonts w:cstheme="minorHAnsi"/>
          <w:b/>
          <w:bCs/>
          <w:color w:val="FF0000"/>
          <w:szCs w:val="20"/>
        </w:rPr>
        <w:t>ej</w:t>
      </w:r>
      <w:r>
        <w:rPr>
          <w:rFonts w:cstheme="minorHAnsi"/>
          <w:b/>
          <w:bCs/>
          <w:color w:val="FF0000"/>
          <w:szCs w:val="20"/>
        </w:rPr>
        <w:t>.</w:t>
      </w:r>
      <w:r w:rsidRPr="00AB57EF">
        <w:rPr>
          <w:rFonts w:cstheme="minorHAnsi"/>
          <w:b/>
          <w:bCs/>
          <w:color w:val="FF0000"/>
          <w:szCs w:val="20"/>
        </w:rPr>
        <w:t xml:space="preserve"> </w:t>
      </w:r>
    </w:p>
    <w:p w14:paraId="6E4E0E75" w14:textId="662FBA8B" w:rsidR="00216D3C" w:rsidRPr="00F118EB" w:rsidRDefault="00216D3C" w:rsidP="00F118EB">
      <w:pPr>
        <w:rPr>
          <w:rFonts w:cstheme="minorHAnsi"/>
          <w:b/>
          <w:iCs/>
          <w:szCs w:val="20"/>
        </w:rPr>
      </w:pPr>
    </w:p>
    <w:p w14:paraId="7E035741" w14:textId="77777777" w:rsidR="001E48EC" w:rsidRPr="003D5382" w:rsidRDefault="001E48EC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1F68B0CE" w14:textId="047E8A8F" w:rsidR="00AB56B2" w:rsidRPr="00A5562E" w:rsidRDefault="00AB56B2" w:rsidP="00AB56B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A5562E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szCs w:val="20"/>
        </w:rPr>
        <w:instrText xml:space="preserve"> FORMCHECKBOX </w:instrText>
      </w:r>
      <w:r w:rsidR="000C4F14">
        <w:rPr>
          <w:rFonts w:asciiTheme="minorHAnsi" w:hAnsiTheme="minorHAnsi" w:cstheme="minorHAnsi"/>
          <w:szCs w:val="20"/>
        </w:rPr>
      </w:r>
      <w:r w:rsidR="000C4F14">
        <w:rPr>
          <w:rFonts w:asciiTheme="minorHAnsi" w:hAnsiTheme="minorHAnsi" w:cstheme="minorHAnsi"/>
          <w:szCs w:val="20"/>
        </w:rPr>
        <w:fldChar w:fldCharType="separate"/>
      </w:r>
      <w:r w:rsidRPr="00A5562E">
        <w:rPr>
          <w:rFonts w:asciiTheme="minorHAnsi" w:hAnsiTheme="minorHAnsi" w:cstheme="minorHAnsi"/>
          <w:szCs w:val="20"/>
        </w:rPr>
        <w:fldChar w:fldCharType="end"/>
      </w:r>
      <w:r w:rsidRPr="00A5562E">
        <w:rPr>
          <w:rFonts w:asciiTheme="minorHAnsi" w:hAnsiTheme="minorHAnsi" w:cstheme="minorHAnsi"/>
          <w:szCs w:val="20"/>
        </w:rPr>
        <w:t xml:space="preserve"> </w:t>
      </w:r>
      <w:r w:rsidRPr="00A5562E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A5562E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0C4F14">
        <w:rPr>
          <w:rFonts w:asciiTheme="minorHAnsi" w:hAnsiTheme="minorHAnsi" w:cstheme="minorHAnsi"/>
          <w:b/>
          <w:bCs/>
          <w:szCs w:val="20"/>
        </w:rPr>
      </w:r>
      <w:r w:rsidR="000C4F14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A5562E">
        <w:rPr>
          <w:rFonts w:asciiTheme="minorHAnsi" w:hAnsiTheme="minorHAnsi" w:cstheme="minorHAnsi"/>
          <w:b/>
          <w:bCs/>
          <w:szCs w:val="20"/>
        </w:rPr>
        <w:fldChar w:fldCharType="end"/>
      </w:r>
      <w:r w:rsidRPr="00A5562E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B56B2" w:rsidRPr="00127F9C" w14:paraId="6E068325" w14:textId="77777777" w:rsidTr="00AB56B2">
        <w:trPr>
          <w:trHeight w:val="80"/>
        </w:trPr>
        <w:tc>
          <w:tcPr>
            <w:tcW w:w="9639" w:type="dxa"/>
            <w:vAlign w:val="bottom"/>
          </w:tcPr>
          <w:p w14:paraId="0E539499" w14:textId="77777777" w:rsidR="00AB56B2" w:rsidRPr="00127F9C" w:rsidRDefault="00AB56B2" w:rsidP="00AB56B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after="120"/>
              <w:ind w:left="639"/>
              <w:rPr>
                <w:rFonts w:cstheme="minorHAnsi"/>
                <w:szCs w:val="20"/>
              </w:rPr>
            </w:pPr>
            <w:r w:rsidRPr="00127F9C">
              <w:rPr>
                <w:rFonts w:cstheme="minorHAnsi"/>
                <w:szCs w:val="20"/>
              </w:rPr>
              <w:t xml:space="preserve">Części </w:t>
            </w:r>
            <w:r w:rsidRPr="00127F9C">
              <w:rPr>
                <w:rFonts w:cstheme="minorHAnsi"/>
                <w:color w:val="000000"/>
                <w:szCs w:val="20"/>
              </w:rPr>
              <w:t>zamówienia</w:t>
            </w:r>
            <w:r w:rsidRPr="00127F9C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B56B2" w:rsidRPr="00127F9C" w14:paraId="2F3D280C" w14:textId="77777777" w:rsidTr="00AB56B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8692E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DB03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9B8A4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AB56B2" w:rsidRPr="00127F9C" w14:paraId="1CDE3F69" w14:textId="77777777" w:rsidTr="00AB56B2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1E3D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2E7BF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15F34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153359BE" w14:textId="77777777" w:rsidR="00AB56B2" w:rsidRPr="00127F9C" w:rsidRDefault="00AB56B2" w:rsidP="00AB56B2">
            <w:pPr>
              <w:widowControl w:val="0"/>
              <w:tabs>
                <w:tab w:val="left" w:pos="709"/>
              </w:tabs>
              <w:spacing w:after="120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AB56B2" w:rsidRPr="00127F9C" w14:paraId="1F18D3F9" w14:textId="77777777" w:rsidTr="00AB56B2">
        <w:trPr>
          <w:trHeight w:val="281"/>
        </w:trPr>
        <w:tc>
          <w:tcPr>
            <w:tcW w:w="9639" w:type="dxa"/>
            <w:vAlign w:val="bottom"/>
          </w:tcPr>
          <w:p w14:paraId="0AE21A55" w14:textId="77777777" w:rsidR="00AB56B2" w:rsidRPr="00127F9C" w:rsidRDefault="00AB56B2" w:rsidP="00AB56B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after="120"/>
              <w:ind w:left="639"/>
              <w:rPr>
                <w:rFonts w:cstheme="minorHAnsi"/>
                <w:color w:val="000000"/>
                <w:szCs w:val="20"/>
              </w:rPr>
            </w:pPr>
            <w:r w:rsidRPr="00127F9C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76DFC79" w14:textId="3C5EF24D" w:rsidR="00FE0880" w:rsidRPr="00AB56B2" w:rsidRDefault="00FE0880" w:rsidP="00764FE7">
      <w:pPr>
        <w:rPr>
          <w:rFonts w:cstheme="minorHAnsi"/>
          <w:szCs w:val="20"/>
        </w:rPr>
      </w:pPr>
    </w:p>
    <w:p w14:paraId="0EBE09F4" w14:textId="45634C36" w:rsidR="00C26715" w:rsidRPr="003D5382" w:rsidRDefault="007D3A1F" w:rsidP="00764FE7">
      <w:pPr>
        <w:pStyle w:val="Akapitzlist"/>
        <w:numPr>
          <w:ilvl w:val="0"/>
          <w:numId w:val="19"/>
        </w:numPr>
        <w:ind w:hanging="153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C4F14">
        <w:rPr>
          <w:rFonts w:asciiTheme="minorHAnsi" w:hAnsiTheme="minorHAnsi" w:cstheme="minorHAnsi"/>
          <w:szCs w:val="20"/>
        </w:rPr>
      </w:r>
      <w:r w:rsidR="000C4F14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C4F14">
        <w:rPr>
          <w:rFonts w:asciiTheme="minorHAnsi" w:hAnsiTheme="minorHAnsi" w:cstheme="minorHAnsi"/>
          <w:szCs w:val="20"/>
        </w:rPr>
      </w:r>
      <w:r w:rsidR="000C4F14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C4F14">
        <w:rPr>
          <w:rFonts w:asciiTheme="minorHAnsi" w:hAnsiTheme="minorHAnsi" w:cstheme="minorHAnsi"/>
          <w:szCs w:val="20"/>
        </w:rPr>
      </w:r>
      <w:r w:rsidR="000C4F14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C4F14">
        <w:rPr>
          <w:rFonts w:asciiTheme="minorHAnsi" w:hAnsiTheme="minorHAnsi" w:cstheme="minorHAnsi"/>
          <w:szCs w:val="20"/>
        </w:rPr>
      </w:r>
      <w:r w:rsidR="000C4F14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08429185" w:rsidR="00D14E47" w:rsidRPr="003D5382" w:rsidRDefault="00BA7C0B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36410864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32240DCF" w:rsidR="00BA7C0B" w:rsidRPr="003D5382" w:rsidRDefault="00F118EB" w:rsidP="00147A88">
      <w:pPr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cstheme="minorHAnsi"/>
                <w:szCs w:val="20"/>
              </w:rPr>
            </w:r>
            <w:r w:rsidR="000C4F14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cstheme="minorHAnsi"/>
                <w:szCs w:val="20"/>
              </w:rPr>
            </w:r>
            <w:r w:rsidR="000C4F14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3D5382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2D08D8AF" w:rsidR="001E50C0" w:rsidRPr="00671573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0C10BD18" w:rsidR="001E50C0" w:rsidRPr="00671573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495988D0" w:rsidR="00E43420" w:rsidRPr="003D5382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A7215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oraz </w:t>
            </w:r>
            <w:r w:rsidR="00A7215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A7215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4705CD">
        <w:tc>
          <w:tcPr>
            <w:tcW w:w="6478" w:type="dxa"/>
            <w:vAlign w:val="center"/>
          </w:tcPr>
          <w:p w14:paraId="105DD786" w14:textId="5E09FD6A" w:rsidR="00671573" w:rsidRPr="00AB56B2" w:rsidRDefault="00671573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posiadanie </w:t>
            </w:r>
            <w:r w:rsidR="00BA7C0B" w:rsidRPr="00BA7C0B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aktualnego </w:t>
            </w:r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>status</w:t>
            </w:r>
            <w:r w:rsid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>u</w:t>
            </w:r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 xml:space="preserve"> </w:t>
            </w:r>
            <w:r w:rsidR="00D40640" w:rsidRPr="0071523C">
              <w:rPr>
                <w:rFonts w:cstheme="minorHAnsi"/>
              </w:rPr>
              <w:t xml:space="preserve"> Partnera firmy </w:t>
            </w:r>
            <w:proofErr w:type="spellStart"/>
            <w:r w:rsidR="00D40640" w:rsidRPr="0071523C">
              <w:rPr>
                <w:rFonts w:cstheme="minorHAnsi"/>
              </w:rPr>
              <w:t>Unify</w:t>
            </w:r>
            <w:proofErr w:type="spellEnd"/>
            <w:r w:rsidR="00D40640" w:rsidRPr="0071523C">
              <w:rPr>
                <w:rFonts w:cstheme="minorHAnsi"/>
              </w:rPr>
              <w:t xml:space="preserve"> min. </w:t>
            </w:r>
            <w:r w:rsidR="00D40640" w:rsidRPr="00EF0486">
              <w:rPr>
                <w:rFonts w:cstheme="minorHAnsi"/>
                <w:lang w:val="en-US"/>
              </w:rPr>
              <w:t xml:space="preserve">Master </w:t>
            </w:r>
            <w:proofErr w:type="spellStart"/>
            <w:r w:rsidR="00D40640" w:rsidRPr="00EF0486">
              <w:rPr>
                <w:rFonts w:cstheme="minorHAnsi"/>
                <w:lang w:val="en-US"/>
              </w:rPr>
              <w:t>OpenScape</w:t>
            </w:r>
            <w:proofErr w:type="spellEnd"/>
            <w:r w:rsidR="00D40640" w:rsidRPr="00EF0486">
              <w:rPr>
                <w:rFonts w:cstheme="minorHAnsi"/>
                <w:lang w:val="en-US"/>
              </w:rPr>
              <w:t xml:space="preserve"> 4000 i Master </w:t>
            </w:r>
            <w:proofErr w:type="spellStart"/>
            <w:r w:rsidR="00D40640" w:rsidRPr="00EF0486">
              <w:rPr>
                <w:rFonts w:cstheme="minorHAnsi"/>
                <w:lang w:val="en-US"/>
              </w:rPr>
              <w:t>OpenScape</w:t>
            </w:r>
            <w:proofErr w:type="spellEnd"/>
            <w:r w:rsidR="00D40640" w:rsidRPr="00EF0486">
              <w:rPr>
                <w:rFonts w:cstheme="minorHAnsi"/>
                <w:lang w:val="en-US"/>
              </w:rPr>
              <w:t xml:space="preserve"> Enterprise</w:t>
            </w:r>
            <w:r w:rsidR="00D40640">
              <w:rPr>
                <w:lang w:val="en-US"/>
              </w:rPr>
              <w:t>.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</w:r>
            <w:r w:rsidR="000C4F14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46D1A00E" w:rsidR="00E43420" w:rsidRPr="003D5382" w:rsidRDefault="00E43420" w:rsidP="00807005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AB56B2" w:rsidRPr="003D5382" w14:paraId="0F762568" w14:textId="77777777" w:rsidTr="004705CD">
        <w:tc>
          <w:tcPr>
            <w:tcW w:w="6478" w:type="dxa"/>
            <w:vAlign w:val="center"/>
          </w:tcPr>
          <w:p w14:paraId="13B310A2" w14:textId="0B1255DA" w:rsidR="00AB56B2" w:rsidRPr="00AB56B2" w:rsidRDefault="00AB56B2" w:rsidP="00764FE7">
            <w:pPr>
              <w:pStyle w:val="Akapitzlist"/>
              <w:numPr>
                <w:ilvl w:val="0"/>
                <w:numId w:val="43"/>
              </w:numPr>
              <w:ind w:left="594" w:hanging="594"/>
              <w:rPr>
                <w:rFonts w:eastAsiaTheme="minorHAnsi" w:cstheme="minorHAnsi"/>
                <w:i/>
                <w:szCs w:val="20"/>
              </w:rPr>
            </w:pPr>
            <w:r w:rsidRPr="00AB56B2">
              <w:rPr>
                <w:rFonts w:cstheme="minorHAnsi"/>
                <w:b/>
                <w:iCs/>
                <w:szCs w:val="20"/>
              </w:rPr>
              <w:t>Informacja na temat podwykonawstwa</w:t>
            </w:r>
          </w:p>
        </w:tc>
        <w:tc>
          <w:tcPr>
            <w:tcW w:w="2584" w:type="dxa"/>
            <w:vAlign w:val="center"/>
          </w:tcPr>
          <w:p w14:paraId="5791CD19" w14:textId="77777777" w:rsidR="00AB56B2" w:rsidRPr="003D5382" w:rsidRDefault="00AB56B2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56B2" w:rsidRPr="003D5382" w14:paraId="710E8322" w14:textId="77777777" w:rsidTr="004705CD">
        <w:tc>
          <w:tcPr>
            <w:tcW w:w="6478" w:type="dxa"/>
            <w:vAlign w:val="center"/>
          </w:tcPr>
          <w:p w14:paraId="6563C45D" w14:textId="3C9C0B12" w:rsidR="00AB56B2" w:rsidRPr="00764FE7" w:rsidRDefault="00AB56B2" w:rsidP="00AB56B2">
            <w:pPr>
              <w:rPr>
                <w:rFonts w:cstheme="minorHAnsi"/>
                <w:iCs/>
                <w:szCs w:val="20"/>
              </w:rPr>
            </w:pPr>
            <w:r w:rsidRPr="00764FE7">
              <w:rPr>
                <w:rFonts w:cstheme="minorHAnsi"/>
                <w:iCs/>
                <w:szCs w:val="20"/>
              </w:rPr>
              <w:t>1.</w:t>
            </w:r>
            <w:r w:rsidRPr="00764FE7">
              <w:rPr>
                <w:rFonts w:cstheme="minorHAnsi"/>
                <w:iCs/>
                <w:szCs w:val="20"/>
              </w:rPr>
              <w:tab/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3F711A66" w14:textId="23950DC0" w:rsidR="00AB56B2" w:rsidRPr="003D5382" w:rsidRDefault="00AB56B2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C4F14">
              <w:rPr>
                <w:rFonts w:asciiTheme="minorHAnsi" w:hAnsiTheme="minorHAnsi" w:cstheme="minorHAnsi"/>
                <w:szCs w:val="20"/>
              </w:rPr>
            </w:r>
            <w:r w:rsidR="000C4F1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AB56B2" w:rsidRPr="003D5382" w14:paraId="4DA5255E" w14:textId="77777777" w:rsidTr="004705CD">
        <w:tc>
          <w:tcPr>
            <w:tcW w:w="6478" w:type="dxa"/>
            <w:vAlign w:val="center"/>
          </w:tcPr>
          <w:p w14:paraId="7BBF3B1A" w14:textId="4F3D844C" w:rsidR="00AB56B2" w:rsidRPr="00764FE7" w:rsidRDefault="00AB56B2" w:rsidP="00AB56B2">
            <w:pPr>
              <w:pStyle w:val="Akapitzlist"/>
              <w:numPr>
                <w:ilvl w:val="0"/>
                <w:numId w:val="23"/>
              </w:numPr>
              <w:ind w:left="311"/>
              <w:rPr>
                <w:rFonts w:cstheme="minorHAnsi"/>
                <w:iCs/>
                <w:szCs w:val="20"/>
              </w:rPr>
            </w:pPr>
            <w:r w:rsidRPr="00C6007E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24B4BBA" w14:textId="4B6D0405" w:rsidR="00AB56B2" w:rsidRPr="003D5382" w:rsidRDefault="00AB56B2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1AB28C4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26550D">
        <w:trPr>
          <w:trHeight w:hRule="exact" w:val="119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36410865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CA90B53" w14:textId="5EE8BC9C" w:rsidR="00147A88" w:rsidRDefault="00F118EB" w:rsidP="0026550D">
      <w:pPr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p w14:paraId="04EA37C3" w14:textId="77777777" w:rsidR="0026550D" w:rsidRPr="003D5382" w:rsidRDefault="0026550D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36410866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A00D61C" w14:textId="77777777" w:rsidR="00F118EB" w:rsidRDefault="00F118EB" w:rsidP="0026550D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</w:p>
    <w:p w14:paraId="0F3D3E27" w14:textId="5976B4BF" w:rsidR="00BA7C0B" w:rsidRDefault="00F118EB" w:rsidP="0026550D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p w14:paraId="0E0C8F4F" w14:textId="77777777" w:rsidR="0026550D" w:rsidRDefault="0026550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36410867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B6D07E" w14:textId="77777777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FAA4BD9" w14:textId="0F12E28F" w:rsidR="00C831FF" w:rsidRPr="00152BA7" w:rsidRDefault="007345B6" w:rsidP="00C831FF">
      <w:pPr>
        <w:rPr>
          <w:rFonts w:ascii="Calibri" w:hAnsi="Calibri"/>
          <w:b/>
          <w:color w:val="FF0000"/>
          <w:szCs w:val="20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C831FF" w:rsidRPr="00A34AD0">
        <w:rPr>
          <w:rFonts w:ascii="Calibri" w:hAnsi="Calibri"/>
          <w:b/>
          <w:szCs w:val="20"/>
        </w:rPr>
        <w:t>1400/DW00/ZT/KZ/2023/0000051341</w:t>
      </w:r>
      <w:r w:rsidR="00C831FF">
        <w:rPr>
          <w:rFonts w:ascii="Calibri" w:hAnsi="Calibri"/>
          <w:b/>
          <w:szCs w:val="20"/>
        </w:rPr>
        <w:t>.</w:t>
      </w:r>
    </w:p>
    <w:p w14:paraId="63693C07" w14:textId="358876C3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</w:p>
    <w:p w14:paraId="5730B29B" w14:textId="6CA34E1A" w:rsidR="007345B6" w:rsidRPr="00A87EAE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3FE4C404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C831FF" w:rsidRPr="00C831FF">
        <w:rPr>
          <w:rFonts w:cstheme="minorHAnsi"/>
          <w:b/>
          <w:bCs/>
          <w:szCs w:val="20"/>
        </w:rPr>
        <w:t>1400/DW00/ZT/KZ/2023/0000051341</w:t>
      </w:r>
      <w:r w:rsidR="00C831FF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7BC58B39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C831FF" w:rsidRPr="00C831FF">
        <w:rPr>
          <w:rFonts w:cstheme="minorHAnsi"/>
          <w:b/>
          <w:bCs/>
          <w:szCs w:val="20"/>
        </w:rPr>
        <w:t>1400/DW00/ZT/KZ/2023/0000051341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7D43D1">
      <w:pPr>
        <w:numPr>
          <w:ilvl w:val="0"/>
          <w:numId w:val="71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77777777" w:rsidR="007345B6" w:rsidRPr="00E97812" w:rsidRDefault="007345B6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1" w:name="_Toc409695893"/>
      <w:bookmarkStart w:id="32" w:name="_Toc518474589"/>
      <w:bookmarkEnd w:id="31"/>
      <w:bookmarkEnd w:id="32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3" w:name="_Toc97025853"/>
      <w:bookmarkStart w:id="34" w:name="_Toc136410868"/>
      <w:bookmarkEnd w:id="29"/>
      <w:bookmarkEnd w:id="30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3"/>
      <w:bookmarkEnd w:id="34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1729116A" w14:textId="77777777" w:rsidR="00A40523" w:rsidRDefault="00A40523" w:rsidP="00A40523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p w14:paraId="5572E6F3" w14:textId="77777777" w:rsidR="0026550D" w:rsidRPr="003D5382" w:rsidRDefault="0026550D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6B7E9D80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</w:t>
            </w:r>
            <w:r w:rsidR="00B25D48">
              <w:rPr>
                <w:rFonts w:cstheme="minorHAnsi"/>
                <w:b/>
                <w:szCs w:val="20"/>
              </w:rPr>
              <w:t>a</w:t>
            </w:r>
            <w:r w:rsidR="007345B6">
              <w:rPr>
                <w:rFonts w:cstheme="minorHAnsi"/>
                <w:b/>
                <w:szCs w:val="20"/>
              </w:rPr>
              <w:t xml:space="preserve"> </w:t>
            </w:r>
            <w:r w:rsidR="00B25D48" w:rsidRPr="00B25D48">
              <w:rPr>
                <w:rFonts w:cstheme="minorHAnsi"/>
                <w:b/>
                <w:szCs w:val="20"/>
              </w:rPr>
              <w:t>dostaw</w:t>
            </w:r>
            <w:r w:rsidR="00B25D48">
              <w:rPr>
                <w:rFonts w:cstheme="minorHAnsi"/>
                <w:b/>
                <w:szCs w:val="20"/>
              </w:rPr>
              <w:t>a</w:t>
            </w:r>
            <w:r w:rsidR="00B25D48" w:rsidRPr="00B25D48">
              <w:rPr>
                <w:rFonts w:cstheme="minorHAnsi"/>
                <w:b/>
                <w:szCs w:val="20"/>
              </w:rPr>
              <w:t xml:space="preserve"> </w:t>
            </w:r>
            <w:r w:rsidR="00A40523">
              <w:rPr>
                <w:rFonts w:cstheme="minorHAnsi"/>
                <w:b/>
                <w:bCs/>
                <w:szCs w:val="20"/>
              </w:rPr>
              <w:t>sprzętu telefonicznego UNIFY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5CCFE17F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A40523">
              <w:rPr>
                <w:rFonts w:cstheme="minorHAnsi"/>
                <w:b/>
                <w:szCs w:val="20"/>
              </w:rPr>
              <w:t>50</w:t>
            </w:r>
            <w:r w:rsidR="003E40D2" w:rsidRPr="003D5382">
              <w:rPr>
                <w:rFonts w:cstheme="minorHAnsi"/>
                <w:b/>
                <w:szCs w:val="20"/>
              </w:rPr>
              <w:t>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A4796F">
              <w:rPr>
                <w:rFonts w:cstheme="minorHAnsi"/>
                <w:b/>
                <w:szCs w:val="20"/>
              </w:rPr>
              <w:t>pięćdziesiąt 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B9560A1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5" w:name="_Toc136410869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340B14E2" w14:textId="77777777" w:rsidR="00A40523" w:rsidRDefault="00A40523" w:rsidP="00A4052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F118EB">
              <w:rPr>
                <w:rFonts w:cstheme="minorHAnsi"/>
                <w:b/>
                <w:szCs w:val="20"/>
              </w:rPr>
              <w:t>Zakup sprzętu telefonicznego UNIFY</w:t>
            </w:r>
          </w:p>
          <w:p w14:paraId="571DE7FF" w14:textId="705CD2AC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63E6F641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6" w:name="_GoBack"/>
      <w:bookmarkEnd w:id="36"/>
    </w:p>
    <w:sectPr w:rsidR="001C5E9C" w:rsidRPr="003D5382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A872" w16cex:dateUtc="2023-05-31T09:05:00Z"/>
  <w16cex:commentExtensible w16cex:durableId="2821A883" w16cex:dateUtc="2023-05-31T09:05:00Z"/>
  <w16cex:commentExtensible w16cex:durableId="2821A89B" w16cex:dateUtc="2023-05-31T0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2D105" w14:textId="77777777" w:rsidR="00040E66" w:rsidRDefault="00040E66" w:rsidP="007A1C80">
      <w:r>
        <w:separator/>
      </w:r>
    </w:p>
  </w:endnote>
  <w:endnote w:type="continuationSeparator" w:id="0">
    <w:p w14:paraId="7B9D4F5C" w14:textId="77777777" w:rsidR="00040E66" w:rsidRDefault="00040E66" w:rsidP="007A1C80">
      <w:r>
        <w:continuationSeparator/>
      </w:r>
    </w:p>
  </w:endnote>
  <w:endnote w:type="continuationNotice" w:id="1">
    <w:p w14:paraId="0F44269E" w14:textId="77777777" w:rsidR="00040E66" w:rsidRDefault="00040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040E66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040E66" w:rsidRPr="00B16B42" w:rsidRDefault="00040E66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040E66" w:rsidRDefault="00040E66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754314F0" w:rsidR="00040E66" w:rsidRDefault="00040E66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040E66" w:rsidRPr="00CC08B4" w:rsidRDefault="00040E66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664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9B60A" w14:textId="30FA6DDB" w:rsidR="00040E66" w:rsidRDefault="00040E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228D22" w14:textId="2DBC781C" w:rsidR="00040E66" w:rsidRPr="006467C1" w:rsidRDefault="00040E66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3FC8" w14:textId="77777777" w:rsidR="00040E66" w:rsidRDefault="00040E66" w:rsidP="007A1C80">
      <w:r>
        <w:separator/>
      </w:r>
    </w:p>
  </w:footnote>
  <w:footnote w:type="continuationSeparator" w:id="0">
    <w:p w14:paraId="4CBEDA08" w14:textId="77777777" w:rsidR="00040E66" w:rsidRDefault="00040E66" w:rsidP="007A1C80">
      <w:r>
        <w:continuationSeparator/>
      </w:r>
    </w:p>
  </w:footnote>
  <w:footnote w:type="continuationNotice" w:id="1">
    <w:p w14:paraId="55D0E04C" w14:textId="77777777" w:rsidR="00040E66" w:rsidRDefault="00040E66"/>
  </w:footnote>
  <w:footnote w:id="2">
    <w:p w14:paraId="1C0FCD70" w14:textId="77777777" w:rsidR="00040E66" w:rsidRDefault="00040E66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040E66" w:rsidRPr="00E67AD8" w:rsidRDefault="00040E66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040E66" w:rsidRPr="00E67AD8" w:rsidRDefault="00040E66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040E66" w:rsidRPr="00E67AD8" w:rsidRDefault="00040E66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040E66" w:rsidRPr="00B13674" w:rsidRDefault="00040E66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040E66" w:rsidRPr="00924000" w:rsidRDefault="00040E66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040E66" w:rsidRPr="00891EB7" w:rsidRDefault="00040E66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94"/>
      <w:gridCol w:w="3304"/>
    </w:tblGrid>
    <w:tr w:rsidR="00040E66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040E66" w:rsidRPr="00DD3397" w:rsidRDefault="00040E66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040E66" w:rsidRPr="00DD3397" w:rsidRDefault="00040E66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040E66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040E66" w:rsidRPr="00DD3397" w:rsidRDefault="00040E66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D628D37" w:rsidR="00040E66" w:rsidRPr="006B4A38" w:rsidRDefault="00040E66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7F3C29">
            <w:rPr>
              <w:rFonts w:ascii="Calibri" w:hAnsi="Calibri"/>
              <w:b/>
              <w:szCs w:val="20"/>
            </w:rPr>
            <w:t>1400/DW00/ZT/KZ/2023/0000051341</w:t>
          </w:r>
        </w:p>
      </w:tc>
    </w:tr>
  </w:tbl>
  <w:p w14:paraId="6F0CB038" w14:textId="77777777" w:rsidR="00040E66" w:rsidRPr="00C842CA" w:rsidRDefault="00040E66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3304"/>
    </w:tblGrid>
    <w:tr w:rsidR="00040E66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040E66" w:rsidRPr="00DD3397" w:rsidRDefault="00040E66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040E66" w:rsidRPr="00DD3397" w:rsidRDefault="00040E66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040E66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040E66" w:rsidRPr="00DD3397" w:rsidRDefault="00040E66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38DFCA58" w:rsidR="00040E66" w:rsidRPr="00F737B7" w:rsidRDefault="00040E66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7F3C29">
            <w:rPr>
              <w:rFonts w:ascii="Calibri" w:hAnsi="Calibri"/>
              <w:b/>
              <w:szCs w:val="20"/>
            </w:rPr>
            <w:t>1400/DW00/ZT/KZ/2023/0000051341</w:t>
          </w:r>
        </w:p>
      </w:tc>
    </w:tr>
  </w:tbl>
  <w:p w14:paraId="61AE3A27" w14:textId="77777777" w:rsidR="00040E66" w:rsidRPr="00121F3A" w:rsidRDefault="00040E66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040E66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040E66" w:rsidRPr="00DD3397" w:rsidRDefault="00040E66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040E66" w:rsidRPr="00DD3397" w:rsidRDefault="00040E66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040E66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040E66" w:rsidRPr="00DD3397" w:rsidRDefault="00040E66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0AAF0109" w:rsidR="00040E66" w:rsidRPr="006B4A38" w:rsidRDefault="00040E66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C831FF">
            <w:rPr>
              <w:rFonts w:cstheme="minorHAnsi"/>
              <w:b/>
              <w:bCs/>
              <w:sz w:val="18"/>
              <w:szCs w:val="18"/>
            </w:rPr>
            <w:t>1400/DW00/ZT/KZ/2023/0000051341</w:t>
          </w:r>
        </w:p>
      </w:tc>
    </w:tr>
  </w:tbl>
  <w:p w14:paraId="10775515" w14:textId="7FE214E0" w:rsidR="00040E66" w:rsidRPr="001C5E9C" w:rsidRDefault="00040E66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040E66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040E66" w:rsidRPr="00DD3397" w:rsidRDefault="00040E66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040E66" w:rsidRPr="00DD3397" w:rsidRDefault="00040E66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040E66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040E66" w:rsidRPr="00DD3397" w:rsidRDefault="00040E66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597C2A68" w:rsidR="00040E66" w:rsidRPr="006B4A38" w:rsidRDefault="00040E66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C831FF">
            <w:rPr>
              <w:rFonts w:cstheme="minorHAnsi"/>
              <w:b/>
              <w:bCs/>
              <w:sz w:val="18"/>
              <w:szCs w:val="18"/>
            </w:rPr>
            <w:t>1400/DW00/ZT/KZ/2023/0000051341</w:t>
          </w:r>
        </w:p>
      </w:tc>
    </w:tr>
  </w:tbl>
  <w:p w14:paraId="1696B5CC" w14:textId="6545ED2B" w:rsidR="00040E66" w:rsidRPr="00E838FD" w:rsidRDefault="00040E66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A136C6"/>
    <w:multiLevelType w:val="multilevel"/>
    <w:tmpl w:val="330246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33661CF"/>
    <w:multiLevelType w:val="hybridMultilevel"/>
    <w:tmpl w:val="35069790"/>
    <w:lvl w:ilvl="0" w:tplc="2864ECD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7C6433"/>
    <w:multiLevelType w:val="multilevel"/>
    <w:tmpl w:val="4E5695BE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)"/>
      <w:lvlJc w:val="left"/>
      <w:pPr>
        <w:ind w:left="2585" w:hanging="18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07836A4F"/>
    <w:multiLevelType w:val="multilevel"/>
    <w:tmpl w:val="565090B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7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D2274BA"/>
    <w:multiLevelType w:val="multilevel"/>
    <w:tmpl w:val="0672BD68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left"/>
      <w:pPr>
        <w:ind w:left="3344" w:hanging="720"/>
      </w:pPr>
    </w:lvl>
    <w:lvl w:ilvl="3">
      <w:start w:val="1"/>
      <w:numFmt w:val="decimal"/>
      <w:lvlText w:val="%4."/>
      <w:lvlJc w:val="left"/>
      <w:pPr>
        <w:ind w:left="3524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0DDB35F9"/>
    <w:multiLevelType w:val="multilevel"/>
    <w:tmpl w:val="17F2EE30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F8E7C06"/>
    <w:multiLevelType w:val="hybridMultilevel"/>
    <w:tmpl w:val="A8F89C0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592E8F"/>
    <w:multiLevelType w:val="multilevel"/>
    <w:tmpl w:val="9FEA709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6F5951"/>
    <w:multiLevelType w:val="multilevel"/>
    <w:tmpl w:val="917609A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7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8" w15:restartNumberingAfterBreak="0">
    <w:nsid w:val="1E3A57AB"/>
    <w:multiLevelType w:val="singleLevel"/>
    <w:tmpl w:val="85B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9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2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209F2CAD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CDF1B6D"/>
    <w:multiLevelType w:val="multilevel"/>
    <w:tmpl w:val="D2860F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9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4A410B"/>
    <w:multiLevelType w:val="multilevel"/>
    <w:tmpl w:val="292619D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51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2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9C72E0"/>
    <w:multiLevelType w:val="multilevel"/>
    <w:tmpl w:val="CEBC8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3AA50D3D"/>
    <w:multiLevelType w:val="hybridMultilevel"/>
    <w:tmpl w:val="018C9386"/>
    <w:lvl w:ilvl="0" w:tplc="E1DE9C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BE27D04"/>
    <w:multiLevelType w:val="multilevel"/>
    <w:tmpl w:val="865A960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 w:val="0"/>
      </w:rPr>
    </w:lvl>
  </w:abstractNum>
  <w:abstractNum w:abstractNumId="59" w15:restartNumberingAfterBreak="0">
    <w:nsid w:val="3C8278B7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3CAC5FD1"/>
    <w:multiLevelType w:val="multilevel"/>
    <w:tmpl w:val="1A685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7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9A1622C"/>
    <w:multiLevelType w:val="hybridMultilevel"/>
    <w:tmpl w:val="288CF720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41BAEC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AE90B81"/>
    <w:multiLevelType w:val="multilevel"/>
    <w:tmpl w:val="07FC952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6F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5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5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1" w15:restartNumberingAfterBreak="0">
    <w:nsid w:val="4C355BB8"/>
    <w:multiLevelType w:val="multilevel"/>
    <w:tmpl w:val="F3CED7D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3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58B7346D"/>
    <w:multiLevelType w:val="multilevel"/>
    <w:tmpl w:val="4356AA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0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1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0A17B0"/>
    <w:multiLevelType w:val="multilevel"/>
    <w:tmpl w:val="F72CE2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3" w15:restartNumberingAfterBreak="0">
    <w:nsid w:val="5D195F96"/>
    <w:multiLevelType w:val="hybridMultilevel"/>
    <w:tmpl w:val="4A98F8DA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5" w15:restartNumberingAfterBreak="0">
    <w:nsid w:val="5E1934C0"/>
    <w:multiLevelType w:val="hybridMultilevel"/>
    <w:tmpl w:val="0F720592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1566C4"/>
    <w:multiLevelType w:val="multilevel"/>
    <w:tmpl w:val="99A61F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0" w15:restartNumberingAfterBreak="0">
    <w:nsid w:val="62F11226"/>
    <w:multiLevelType w:val="hybridMultilevel"/>
    <w:tmpl w:val="DC76362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91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41964C9"/>
    <w:multiLevelType w:val="hybridMultilevel"/>
    <w:tmpl w:val="976CB8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5BA6DD9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10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3A4247C"/>
    <w:multiLevelType w:val="multilevel"/>
    <w:tmpl w:val="E5989D6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107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62B1626"/>
    <w:multiLevelType w:val="hybridMultilevel"/>
    <w:tmpl w:val="3B021FAA"/>
    <w:lvl w:ilvl="0" w:tplc="7182E92C">
      <w:start w:val="1"/>
      <w:numFmt w:val="upperRoman"/>
      <w:lvlText w:val="%1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67C65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2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3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8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80"/>
  </w:num>
  <w:num w:numId="3">
    <w:abstractNumId w:val="95"/>
  </w:num>
  <w:num w:numId="4">
    <w:abstractNumId w:val="56"/>
  </w:num>
  <w:num w:numId="5">
    <w:abstractNumId w:val="72"/>
  </w:num>
  <w:num w:numId="6">
    <w:abstractNumId w:val="87"/>
  </w:num>
  <w:num w:numId="7">
    <w:abstractNumId w:val="88"/>
  </w:num>
  <w:num w:numId="8">
    <w:abstractNumId w:val="33"/>
  </w:num>
  <w:num w:numId="9">
    <w:abstractNumId w:val="101"/>
  </w:num>
  <w:num w:numId="10">
    <w:abstractNumId w:val="94"/>
  </w:num>
  <w:num w:numId="11">
    <w:abstractNumId w:val="108"/>
  </w:num>
  <w:num w:numId="12">
    <w:abstractNumId w:val="20"/>
  </w:num>
  <w:num w:numId="13">
    <w:abstractNumId w:val="0"/>
  </w:num>
  <w:num w:numId="14">
    <w:abstractNumId w:val="80"/>
  </w:num>
  <w:num w:numId="15">
    <w:abstractNumId w:val="80"/>
  </w:num>
  <w:num w:numId="16">
    <w:abstractNumId w:val="22"/>
  </w:num>
  <w:num w:numId="17">
    <w:abstractNumId w:val="104"/>
  </w:num>
  <w:num w:numId="18">
    <w:abstractNumId w:val="80"/>
  </w:num>
  <w:num w:numId="19">
    <w:abstractNumId w:val="85"/>
  </w:num>
  <w:num w:numId="20">
    <w:abstractNumId w:val="75"/>
  </w:num>
  <w:num w:numId="21">
    <w:abstractNumId w:val="114"/>
  </w:num>
  <w:num w:numId="22">
    <w:abstractNumId w:val="67"/>
  </w:num>
  <w:num w:numId="23">
    <w:abstractNumId w:val="55"/>
  </w:num>
  <w:num w:numId="24">
    <w:abstractNumId w:val="30"/>
  </w:num>
  <w:num w:numId="25">
    <w:abstractNumId w:val="45"/>
  </w:num>
  <w:num w:numId="26">
    <w:abstractNumId w:val="8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51"/>
  </w:num>
  <w:num w:numId="31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80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2"/>
  </w:num>
  <w:num w:numId="35">
    <w:abstractNumId w:val="76"/>
  </w:num>
  <w:num w:numId="36">
    <w:abstractNumId w:val="74"/>
  </w:num>
  <w:num w:numId="37">
    <w:abstractNumId w:val="21"/>
  </w:num>
  <w:num w:numId="38">
    <w:abstractNumId w:val="113"/>
  </w:num>
  <w:num w:numId="39">
    <w:abstractNumId w:val="64"/>
  </w:num>
  <w:num w:numId="40">
    <w:abstractNumId w:val="84"/>
  </w:num>
  <w:num w:numId="41">
    <w:abstractNumId w:val="107"/>
  </w:num>
  <w:num w:numId="42">
    <w:abstractNumId w:val="92"/>
  </w:num>
  <w:num w:numId="43">
    <w:abstractNumId w:val="109"/>
  </w:num>
  <w:num w:numId="44">
    <w:abstractNumId w:val="54"/>
  </w:num>
  <w:num w:numId="45">
    <w:abstractNumId w:val="73"/>
  </w:num>
  <w:num w:numId="46">
    <w:abstractNumId w:val="41"/>
  </w:num>
  <w:num w:numId="47">
    <w:abstractNumId w:val="99"/>
  </w:num>
  <w:num w:numId="48">
    <w:abstractNumId w:val="40"/>
  </w:num>
  <w:num w:numId="49">
    <w:abstractNumId w:val="66"/>
  </w:num>
  <w:num w:numId="50">
    <w:abstractNumId w:val="65"/>
  </w:num>
  <w:num w:numId="51">
    <w:abstractNumId w:val="80"/>
  </w:num>
  <w:num w:numId="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44"/>
  </w:num>
  <w:num w:numId="57">
    <w:abstractNumId w:val="63"/>
  </w:num>
  <w:num w:numId="58">
    <w:abstractNumId w:val="110"/>
  </w:num>
  <w:num w:numId="59">
    <w:abstractNumId w:val="28"/>
  </w:num>
  <w:num w:numId="60">
    <w:abstractNumId w:val="89"/>
  </w:num>
  <w:num w:numId="61">
    <w:abstractNumId w:val="102"/>
  </w:num>
  <w:num w:numId="62">
    <w:abstractNumId w:val="39"/>
  </w:num>
  <w:num w:numId="63">
    <w:abstractNumId w:val="98"/>
  </w:num>
  <w:num w:numId="64">
    <w:abstractNumId w:val="97"/>
  </w:num>
  <w:num w:numId="65">
    <w:abstractNumId w:val="112"/>
  </w:num>
  <w:num w:numId="66">
    <w:abstractNumId w:val="61"/>
  </w:num>
  <w:num w:numId="67">
    <w:abstractNumId w:val="36"/>
  </w:num>
  <w:num w:numId="68">
    <w:abstractNumId w:val="115"/>
  </w:num>
  <w:num w:numId="69">
    <w:abstractNumId w:val="42"/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3"/>
  </w:num>
  <w:num w:numId="7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6"/>
    <w:lvlOverride w:ilvl="0">
      <w:startOverride w:val="1"/>
    </w:lvlOverride>
  </w:num>
  <w:num w:numId="76">
    <w:abstractNumId w:val="111"/>
  </w:num>
  <w:num w:numId="77">
    <w:abstractNumId w:val="43"/>
  </w:num>
  <w:num w:numId="78">
    <w:abstractNumId w:val="68"/>
  </w:num>
  <w:num w:numId="79">
    <w:abstractNumId w:val="96"/>
  </w:num>
  <w:num w:numId="80">
    <w:abstractNumId w:val="38"/>
  </w:num>
  <w:num w:numId="81">
    <w:abstractNumId w:val="93"/>
  </w:num>
  <w:num w:numId="82">
    <w:abstractNumId w:val="53"/>
  </w:num>
  <w:num w:numId="83">
    <w:abstractNumId w:val="32"/>
  </w:num>
  <w:num w:numId="84">
    <w:abstractNumId w:val="90"/>
  </w:num>
  <w:num w:numId="85">
    <w:abstractNumId w:val="59"/>
  </w:num>
  <w:num w:numId="86">
    <w:abstractNumId w:val="82"/>
  </w:num>
  <w:num w:numId="87">
    <w:abstractNumId w:val="27"/>
  </w:num>
  <w:num w:numId="88">
    <w:abstractNumId w:val="71"/>
  </w:num>
  <w:num w:numId="89">
    <w:abstractNumId w:val="71"/>
    <w:lvlOverride w:ilvl="0">
      <w:startOverride w:val="1"/>
    </w:lvlOverride>
  </w:num>
  <w:num w:numId="90">
    <w:abstractNumId w:val="60"/>
  </w:num>
  <w:num w:numId="91">
    <w:abstractNumId w:val="60"/>
    <w:lvlOverride w:ilvl="0">
      <w:startOverride w:val="1"/>
    </w:lvlOverride>
  </w:num>
  <w:num w:numId="92">
    <w:abstractNumId w:val="48"/>
  </w:num>
  <w:num w:numId="93">
    <w:abstractNumId w:val="19"/>
  </w:num>
  <w:num w:numId="94">
    <w:abstractNumId w:val="19"/>
    <w:lvlOverride w:ilvl="0">
      <w:startOverride w:val="1"/>
    </w:lvlOverride>
  </w:num>
  <w:num w:numId="95">
    <w:abstractNumId w:val="31"/>
  </w:num>
  <w:num w:numId="96">
    <w:abstractNumId w:val="31"/>
    <w:lvlOverride w:ilvl="0">
      <w:startOverride w:val="1"/>
    </w:lvlOverride>
  </w:num>
  <w:num w:numId="97">
    <w:abstractNumId w:val="24"/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9">
    <w:abstractNumId w:val="77"/>
  </w:num>
  <w:num w:numId="100">
    <w:abstractNumId w:val="77"/>
    <w:lvlOverride w:ilvl="0">
      <w:startOverride w:val="1"/>
    </w:lvlOverride>
  </w:num>
  <w:num w:numId="101">
    <w:abstractNumId w:val="35"/>
  </w:num>
  <w:num w:numId="102">
    <w:abstractNumId w:val="35"/>
    <w:lvlOverride w:ilvl="0">
      <w:startOverride w:val="1"/>
    </w:lvlOverride>
  </w:num>
  <w:num w:numId="103">
    <w:abstractNumId w:val="25"/>
  </w:num>
  <w:num w:numId="104">
    <w:abstractNumId w:val="25"/>
    <w:lvlOverride w:ilvl="0">
      <w:startOverride w:val="1"/>
    </w:lvlOverride>
  </w:num>
  <w:num w:numId="105">
    <w:abstractNumId w:val="58"/>
  </w:num>
  <w:num w:numId="106">
    <w:abstractNumId w:val="58"/>
    <w:lvlOverride w:ilvl="0">
      <w:startOverride w:val="1"/>
    </w:lvlOverride>
  </w:num>
  <w:num w:numId="107">
    <w:abstractNumId w:val="69"/>
  </w:num>
  <w:num w:numId="108">
    <w:abstractNumId w:val="69"/>
    <w:lvlOverride w:ilvl="0">
      <w:startOverride w:val="1"/>
    </w:lvlOverride>
  </w:num>
  <w:num w:numId="109">
    <w:abstractNumId w:val="86"/>
  </w:num>
  <w:num w:numId="110">
    <w:abstractNumId w:val="86"/>
    <w:lvlOverride w:ilvl="0">
      <w:startOverride w:val="1"/>
    </w:lvlOverride>
  </w:num>
  <w:num w:numId="111">
    <w:abstractNumId w:val="106"/>
  </w:num>
  <w:num w:numId="112">
    <w:abstractNumId w:val="106"/>
    <w:lvlOverride w:ilvl="0">
      <w:startOverride w:val="1"/>
    </w:lvlOverride>
  </w:num>
  <w:num w:numId="113">
    <w:abstractNumId w:val="50"/>
  </w:num>
  <w:num w:numId="114">
    <w:abstractNumId w:val="50"/>
    <w:lvlOverride w:ilvl="0">
      <w:startOverride w:val="1"/>
    </w:lvlOverride>
  </w:num>
  <w:num w:numId="115">
    <w:abstractNumId w:val="29"/>
  </w:num>
  <w:num w:numId="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7">
    <w:abstractNumId w:val="34"/>
  </w:num>
  <w:num w:numId="118">
    <w:abstractNumId w:val="34"/>
    <w:lvlOverride w:ilvl="0">
      <w:startOverride w:val="1"/>
    </w:lvlOverride>
  </w:num>
  <w:num w:numId="119">
    <w:abstractNumId w:val="57"/>
  </w:num>
  <w:num w:numId="120">
    <w:abstractNumId w:val="91"/>
  </w:num>
  <w:num w:numId="121">
    <w:abstractNumId w:val="37"/>
  </w:num>
  <w:num w:numId="122">
    <w:abstractNumId w:val="100"/>
  </w:num>
  <w:num w:numId="123">
    <w:abstractNumId w:val="2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A4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00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0E66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14"/>
    <w:rsid w:val="000C4F70"/>
    <w:rsid w:val="000C65C2"/>
    <w:rsid w:val="000C708F"/>
    <w:rsid w:val="000C7192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3E4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D3C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2C4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28B"/>
    <w:rsid w:val="00250FD7"/>
    <w:rsid w:val="0025103D"/>
    <w:rsid w:val="002513E1"/>
    <w:rsid w:val="00252161"/>
    <w:rsid w:val="00253091"/>
    <w:rsid w:val="002531EE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0D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4DC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378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2FC6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B8D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2DD2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69C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98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3BA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2AB2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1C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3F12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5D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7B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4FE7"/>
    <w:rsid w:val="007652EA"/>
    <w:rsid w:val="00765605"/>
    <w:rsid w:val="00766E2E"/>
    <w:rsid w:val="007675F4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3D1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3C29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2B7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1C64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C85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121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899"/>
    <w:rsid w:val="008D79A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523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4796F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2150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318F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6B2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536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06C"/>
    <w:rsid w:val="00B0461B"/>
    <w:rsid w:val="00B04834"/>
    <w:rsid w:val="00B04AB2"/>
    <w:rsid w:val="00B04B1B"/>
    <w:rsid w:val="00B04F43"/>
    <w:rsid w:val="00B05958"/>
    <w:rsid w:val="00B062D1"/>
    <w:rsid w:val="00B06306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5D48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4A5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296"/>
    <w:rsid w:val="00C54433"/>
    <w:rsid w:val="00C54CAE"/>
    <w:rsid w:val="00C54EDB"/>
    <w:rsid w:val="00C54FE7"/>
    <w:rsid w:val="00C55588"/>
    <w:rsid w:val="00C56038"/>
    <w:rsid w:val="00C56E85"/>
    <w:rsid w:val="00C5706A"/>
    <w:rsid w:val="00C57162"/>
    <w:rsid w:val="00C5782B"/>
    <w:rsid w:val="00C57C1A"/>
    <w:rsid w:val="00C57CD3"/>
    <w:rsid w:val="00C6007E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1FF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5AC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640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6CE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6D8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D1D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57EAF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07B0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486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8EB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50D"/>
    <w:rPr>
      <w:color w:val="605E5C"/>
      <w:shd w:val="clear" w:color="auto" w:fill="E1DFDD"/>
    </w:rPr>
  </w:style>
  <w:style w:type="character" w:customStyle="1" w:styleId="fontstyle11">
    <w:name w:val="fontstyle11"/>
    <w:basedOn w:val="Domylnaczcionkaakapitu"/>
    <w:rsid w:val="00040E6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D79F3C-5D56-4C5B-8C7B-34B121625C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B69C07-663A-427A-866E-16E151DC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3105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Górka Magdalena</cp:lastModifiedBy>
  <cp:revision>2</cp:revision>
  <cp:lastPrinted>2023-06-14T07:23:00Z</cp:lastPrinted>
  <dcterms:created xsi:type="dcterms:W3CDTF">2023-06-14T07:24:00Z</dcterms:created>
  <dcterms:modified xsi:type="dcterms:W3CDTF">2023-06-14T07:24:00Z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